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49" w:rsidRDefault="00246F49">
      <w:pPr>
        <w:pStyle w:val="Tytu"/>
        <w:jc w:val="left"/>
      </w:pPr>
      <w:r>
        <w:rPr>
          <w:b w:val="0"/>
        </w:rPr>
        <w:t xml:space="preserve">  </w:t>
      </w:r>
    </w:p>
    <w:p w:rsidR="00246F49" w:rsidRDefault="00246F49">
      <w:pPr>
        <w:pStyle w:val="Tytu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ZASADY SPORZĄDZANIA PRZYPISÓW, </w:t>
      </w:r>
    </w:p>
    <w:p w:rsidR="00246F49" w:rsidRDefault="00246F49">
      <w:pPr>
        <w:pStyle w:val="Tytu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NOT BIBLIOGRAFICZNYCH I REDAKCJI TEKSTU</w:t>
      </w:r>
    </w:p>
    <w:p w:rsidR="00246F49" w:rsidRDefault="00246F49">
      <w:pPr>
        <w:pStyle w:val="Nagwek1"/>
        <w:jc w:val="center"/>
        <w:rPr>
          <w:b/>
        </w:rPr>
      </w:pPr>
    </w:p>
    <w:p w:rsidR="00246F49" w:rsidRDefault="00246F49"/>
    <w:p w:rsidR="00246F49" w:rsidRDefault="00246F49"/>
    <w:p w:rsidR="00246F49" w:rsidRDefault="00246F49">
      <w:pPr>
        <w:pStyle w:val="Nagwek2"/>
      </w:pPr>
      <w:r>
        <w:t>PRZYPISY</w:t>
      </w:r>
    </w:p>
    <w:p w:rsidR="00246F49" w:rsidRDefault="00246F49">
      <w:pPr>
        <w:pStyle w:val="Tekstpodstawowywcity"/>
      </w:pPr>
      <w:r>
        <w:t>Należy stosować przypisy u dołu każdej strony.</w:t>
      </w:r>
    </w:p>
    <w:p w:rsidR="00246F49" w:rsidRDefault="00587395">
      <w:pPr>
        <w:pStyle w:val="Tekstpodstawowywcity"/>
      </w:pPr>
      <w:r>
        <w:t>Znaki prze</w:t>
      </w:r>
      <w:r w:rsidR="00246F49">
        <w:t>stankowe trzeba umieszczać za cyferką przypisu, np.:</w:t>
      </w:r>
    </w:p>
    <w:p w:rsidR="00246F49" w:rsidRDefault="00246F49"/>
    <w:p w:rsidR="00246F49" w:rsidRPr="00627E73" w:rsidRDefault="00246F49">
      <w:r w:rsidRPr="00627E73">
        <w:t>Jak stwierdza Harrington, będzie to wszystko dość nudne</w:t>
      </w:r>
      <w:r w:rsidRPr="00627E73">
        <w:rPr>
          <w:vertAlign w:val="superscript"/>
        </w:rPr>
        <w:t>1</w:t>
      </w:r>
      <w:r w:rsidRPr="00627E73">
        <w:t>.</w:t>
      </w:r>
    </w:p>
    <w:p w:rsidR="00246F49" w:rsidRPr="00627E73" w:rsidRDefault="00246F49">
      <w:r w:rsidRPr="00627E73">
        <w:t>„Współczesne demokracje liberalne nie wypłynęły z mglistych oparów tradycji”</w:t>
      </w:r>
      <w:r w:rsidRPr="00627E73">
        <w:rPr>
          <w:vertAlign w:val="superscript"/>
        </w:rPr>
        <w:t>2</w:t>
      </w:r>
      <w:r w:rsidRPr="00627E73">
        <w:t>.</w:t>
      </w:r>
    </w:p>
    <w:p w:rsidR="00246F49" w:rsidRDefault="00246F49">
      <w:pPr>
        <w:pStyle w:val="Tekstpodstawowywcity"/>
        <w:rPr>
          <w:b/>
        </w:rPr>
      </w:pPr>
    </w:p>
    <w:p w:rsidR="00246F49" w:rsidRDefault="00246F49">
      <w:pPr>
        <w:pStyle w:val="Tekstpodstawowywcity"/>
        <w:rPr>
          <w:b/>
        </w:rPr>
      </w:pPr>
      <w:r>
        <w:rPr>
          <w:b/>
        </w:rPr>
        <w:t>Zapis przypisu</w:t>
      </w:r>
    </w:p>
    <w:p w:rsidR="00246F49" w:rsidRDefault="00627E73">
      <w:pPr>
        <w:tabs>
          <w:tab w:val="num" w:pos="360"/>
        </w:tabs>
        <w:ind w:left="360" w:hanging="360"/>
      </w:pPr>
      <w:r>
        <w:rPr>
          <w:b/>
        </w:rPr>
        <w:t>1) P</w:t>
      </w:r>
      <w:r w:rsidR="00246F49">
        <w:rPr>
          <w:b/>
        </w:rPr>
        <w:t>ublikacja książkowa:</w:t>
      </w:r>
    </w:p>
    <w:p w:rsidR="00246F49" w:rsidRDefault="00246F49"/>
    <w:p w:rsidR="00246F49" w:rsidRDefault="00246F49">
      <w:pPr>
        <w:ind w:left="851" w:hanging="851"/>
      </w:pPr>
      <w:r>
        <w:t xml:space="preserve">W. J. Harrington, </w:t>
      </w:r>
      <w:r>
        <w:rPr>
          <w:i/>
        </w:rPr>
        <w:t>Klucz do Biblii</w:t>
      </w:r>
      <w:r>
        <w:t>, przeł. J. Marzęcki, Warszawa 2002, s. 29.</w:t>
      </w:r>
    </w:p>
    <w:p w:rsidR="00246F49" w:rsidRDefault="00246F49">
      <w:pPr>
        <w:rPr>
          <w:b/>
        </w:rPr>
      </w:pPr>
    </w:p>
    <w:p w:rsidR="00246F49" w:rsidRDefault="00627E73">
      <w:pPr>
        <w:tabs>
          <w:tab w:val="num" w:pos="360"/>
        </w:tabs>
        <w:ind w:left="360" w:hanging="360"/>
      </w:pPr>
      <w:r>
        <w:rPr>
          <w:b/>
        </w:rPr>
        <w:t xml:space="preserve">2) </w:t>
      </w:r>
      <w:r w:rsidR="00246F49">
        <w:rPr>
          <w:b/>
        </w:rPr>
        <w:t>artykuł zamieszczony w antologii:</w:t>
      </w:r>
    </w:p>
    <w:p w:rsidR="00246F49" w:rsidRDefault="00246F49"/>
    <w:p w:rsidR="00246F49" w:rsidRDefault="00246F49">
      <w:pPr>
        <w:ind w:left="851" w:hanging="851"/>
      </w:pPr>
      <w:r>
        <w:t xml:space="preserve">E. Branigan, </w:t>
      </w:r>
      <w:r>
        <w:rPr>
          <w:i/>
          <w:iCs/>
        </w:rPr>
        <w:t>Schemat fabularny</w:t>
      </w:r>
      <w:r>
        <w:t xml:space="preserve">, przeł. J. Ostaszewski, [w:] </w:t>
      </w:r>
      <w:r>
        <w:rPr>
          <w:i/>
        </w:rPr>
        <w:t>Kognitywna teoria filmu. Antologia przekładów</w:t>
      </w:r>
      <w:r>
        <w:t>, red. J. Ostaszewski, Kraków 1999, s. 115.</w:t>
      </w:r>
    </w:p>
    <w:p w:rsidR="00246F49" w:rsidRDefault="00246F49">
      <w:pPr>
        <w:rPr>
          <w:b/>
        </w:rPr>
      </w:pPr>
    </w:p>
    <w:p w:rsidR="00246F49" w:rsidRDefault="00627E73">
      <w:pPr>
        <w:tabs>
          <w:tab w:val="num" w:pos="360"/>
        </w:tabs>
        <w:ind w:left="360" w:hanging="360"/>
      </w:pPr>
      <w:r>
        <w:rPr>
          <w:b/>
        </w:rPr>
        <w:t xml:space="preserve">3) </w:t>
      </w:r>
      <w:r w:rsidR="00246F49">
        <w:rPr>
          <w:b/>
        </w:rPr>
        <w:t>artykuł zamieszczony w czasopiśmie:</w:t>
      </w:r>
    </w:p>
    <w:p w:rsidR="00246F49" w:rsidRDefault="00246F49"/>
    <w:p w:rsidR="00246F49" w:rsidRDefault="00246F49">
      <w:pPr>
        <w:pStyle w:val="Tekstpodstawowywcity2"/>
      </w:pPr>
      <w:r>
        <w:t xml:space="preserve">J. Habermas, </w:t>
      </w:r>
      <w:r>
        <w:rPr>
          <w:i/>
          <w:iCs/>
        </w:rPr>
        <w:t>Prawo międzynarodowe – jego przyszłość i przeszłość</w:t>
      </w:r>
      <w:r>
        <w:t>, przeł. A. Kopacki, „Przegląd Polityczny” 2003 nr 62/63, s. 148.</w:t>
      </w:r>
    </w:p>
    <w:p w:rsidR="00246F49" w:rsidRDefault="00246F49">
      <w:pPr>
        <w:pStyle w:val="Tekstpodstawowywcity2"/>
      </w:pPr>
    </w:p>
    <w:p w:rsidR="00246F49" w:rsidRDefault="00246F49">
      <w:pPr>
        <w:pStyle w:val="Tekstpodstawowywcity2"/>
        <w:rPr>
          <w:b/>
        </w:rPr>
      </w:pPr>
      <w:r>
        <w:rPr>
          <w:b/>
        </w:rPr>
        <w:t>4</w:t>
      </w:r>
      <w:r w:rsidR="00627E73">
        <w:rPr>
          <w:b/>
        </w:rPr>
        <w:t>)</w:t>
      </w:r>
      <w:r>
        <w:rPr>
          <w:b/>
        </w:rPr>
        <w:t xml:space="preserve"> artykuł zamieszczony na stronie internetowej:</w:t>
      </w:r>
    </w:p>
    <w:p w:rsidR="00246F49" w:rsidRDefault="00246F49">
      <w:pPr>
        <w:pStyle w:val="Tekstpodstawowywcity2"/>
      </w:pPr>
    </w:p>
    <w:p w:rsidR="00246F49" w:rsidRDefault="00246F49">
      <w:pPr>
        <w:pStyle w:val="Tekstpodstawowywcity2"/>
      </w:pPr>
      <w:r>
        <w:t xml:space="preserve">D. Dzido, </w:t>
      </w:r>
      <w:r>
        <w:rPr>
          <w:i/>
          <w:iCs/>
        </w:rPr>
        <w:t>Spektakle codzienności: O wizerunkach kobiecości i męskości</w:t>
      </w:r>
      <w:r>
        <w:t xml:space="preserve">, </w:t>
      </w:r>
      <w:r w:rsidR="00627E73">
        <w:t xml:space="preserve">[za:] </w:t>
      </w:r>
      <w:hyperlink r:id="rId7" w:tgtFrame="_blank" w:history="1">
        <w:r>
          <w:rPr>
            <w:rStyle w:val="Hipercze"/>
          </w:rPr>
          <w:t>http://www.gender.lodz.pl/czytelnia/prasa/spektakle_codzienn</w:t>
        </w:r>
      </w:hyperlink>
      <w:hyperlink r:id="rId8" w:tgtFrame="_blank" w:history="1">
        <w:r>
          <w:rPr>
            <w:rStyle w:val="Hipercze"/>
          </w:rPr>
          <w:t>ości.htm</w:t>
        </w:r>
      </w:hyperlink>
      <w:r>
        <w:t xml:space="preserve"> </w:t>
      </w:r>
      <w:r w:rsidR="008714CA">
        <w:t xml:space="preserve">(dostęp: </w:t>
      </w:r>
      <w:r>
        <w:t>21.04.2005</w:t>
      </w:r>
      <w:r w:rsidR="008714CA">
        <w:t>)</w:t>
      </w:r>
      <w:r>
        <w:t>.</w:t>
      </w:r>
    </w:p>
    <w:p w:rsidR="00246F49" w:rsidRDefault="00246F49">
      <w:pPr>
        <w:pStyle w:val="Tekstpodstawowywcity2"/>
      </w:pPr>
    </w:p>
    <w:p w:rsidR="00246F49" w:rsidRDefault="00627E73" w:rsidP="00627E73">
      <w:pPr>
        <w:pStyle w:val="Tekstpodstawowywcity2"/>
        <w:rPr>
          <w:b/>
        </w:rPr>
      </w:pPr>
      <w:r>
        <w:rPr>
          <w:b/>
        </w:rPr>
        <w:t xml:space="preserve">5) </w:t>
      </w:r>
      <w:r w:rsidR="00246F49">
        <w:rPr>
          <w:b/>
        </w:rPr>
        <w:t>hasło ze słownika, encyklopedii, itp.:</w:t>
      </w:r>
    </w:p>
    <w:p w:rsidR="00246F49" w:rsidRDefault="00246F49">
      <w:pPr>
        <w:pStyle w:val="Tekstpodstawowywcity2"/>
        <w:ind w:left="0" w:firstLine="0"/>
      </w:pPr>
    </w:p>
    <w:p w:rsidR="00246F49" w:rsidRDefault="00246F49">
      <w:pPr>
        <w:pStyle w:val="Tekstpodstawowywcity2"/>
      </w:pPr>
      <w:r>
        <w:t xml:space="preserve">hasło: plagiat, [w:] </w:t>
      </w:r>
      <w:r>
        <w:rPr>
          <w:i/>
          <w:iCs/>
        </w:rPr>
        <w:t>Słownik terminów literackich</w:t>
      </w:r>
      <w:r w:rsidR="00627E73">
        <w:t>, red.</w:t>
      </w:r>
      <w:r>
        <w:t xml:space="preserve"> J. Sławiński, Wrocław-Warszawa-Kraków 2000, s. 389.</w:t>
      </w:r>
    </w:p>
    <w:p w:rsidR="00246F49" w:rsidRDefault="00246F49"/>
    <w:p w:rsidR="008B4B20" w:rsidRDefault="008B4B20">
      <w:r>
        <w:t>Jeżeli nie cytujemy bezpośrednio, lecz parafrazujemy, odwołujemy się do tekstu, który nas zainspirował, przypis pod tekstem rozpoczynamy od skrótu: Por.</w:t>
      </w:r>
    </w:p>
    <w:p w:rsidR="008B4B20" w:rsidRDefault="008B4B20"/>
    <w:p w:rsidR="00246F49" w:rsidRDefault="00246F49">
      <w:r>
        <w:rPr>
          <w:b/>
        </w:rPr>
        <w:t>W przypadku, gdy następny przypis pochodzi z tego samego źródła, stosuje się:</w:t>
      </w:r>
    </w:p>
    <w:p w:rsidR="00246F49" w:rsidRDefault="00246F49"/>
    <w:p w:rsidR="00627E73" w:rsidRDefault="00246F49">
      <w:r>
        <w:t>Ibidem</w:t>
      </w:r>
      <w:r w:rsidR="00627E73">
        <w:t>.</w:t>
      </w:r>
    </w:p>
    <w:p w:rsidR="00627E73" w:rsidRDefault="00627E73"/>
    <w:p w:rsidR="00246F49" w:rsidRDefault="00246F49">
      <w:pPr>
        <w:rPr>
          <w:b/>
        </w:rPr>
      </w:pPr>
    </w:p>
    <w:p w:rsidR="00246F49" w:rsidRDefault="00246F49">
      <w:r>
        <w:rPr>
          <w:b/>
        </w:rPr>
        <w:t>Jeśli następny przypis pochodzi z tego samego źródła, ale z innej strony, stosuje się:</w:t>
      </w:r>
    </w:p>
    <w:p w:rsidR="00246F49" w:rsidRDefault="00246F49"/>
    <w:p w:rsidR="00246F49" w:rsidRDefault="00246F49">
      <w:r>
        <w:t xml:space="preserve">Ibidem, s. 122. </w:t>
      </w:r>
    </w:p>
    <w:p w:rsidR="00246F49" w:rsidRDefault="00246F49"/>
    <w:p w:rsidR="00246F49" w:rsidRDefault="00246F49">
      <w:pPr>
        <w:pStyle w:val="Tekstpodstawowy"/>
      </w:pPr>
      <w:r>
        <w:t>W przypadku, gdy przypis odnosi się do źródła, które już w danym tekście było cytowane, stosuje się:</w:t>
      </w:r>
    </w:p>
    <w:p w:rsidR="00246F49" w:rsidRDefault="00246F49"/>
    <w:p w:rsidR="00246F49" w:rsidRDefault="00246F49">
      <w:pPr>
        <w:rPr>
          <w:lang w:val="en-US"/>
        </w:rPr>
      </w:pPr>
      <w:r>
        <w:rPr>
          <w:lang w:val="en-US"/>
        </w:rPr>
        <w:t xml:space="preserve">W. J. Harrington, op. cit., s. 144. </w:t>
      </w:r>
    </w:p>
    <w:p w:rsidR="00246F49" w:rsidRDefault="00246F49">
      <w:pPr>
        <w:rPr>
          <w:lang w:val="en-US"/>
        </w:rPr>
      </w:pPr>
    </w:p>
    <w:p w:rsidR="00246F49" w:rsidRDefault="00246F49">
      <w:pPr>
        <w:pStyle w:val="Tekstpodstawowy"/>
      </w:pPr>
      <w:r>
        <w:t>Jeśli w tekście odnosimy się do więcej niż jednej pozycji tego samego autora, to gdy kolejny przypis odnosi się do jednego z tych tekstów, stosuje się:</w:t>
      </w:r>
    </w:p>
    <w:p w:rsidR="00246F49" w:rsidRDefault="00246F49"/>
    <w:p w:rsidR="00246F49" w:rsidRPr="00627E73" w:rsidRDefault="00246F49">
      <w:pPr>
        <w:rPr>
          <w:lang w:val="en-US"/>
        </w:rPr>
      </w:pPr>
      <w:r w:rsidRPr="00627E73">
        <w:rPr>
          <w:lang w:val="en-US"/>
        </w:rPr>
        <w:t xml:space="preserve">W. J. Harrington, </w:t>
      </w:r>
      <w:r w:rsidRPr="00627E73">
        <w:rPr>
          <w:i/>
          <w:lang w:val="en-US"/>
        </w:rPr>
        <w:t>Klucz do...</w:t>
      </w:r>
      <w:r w:rsidRPr="00627E73">
        <w:rPr>
          <w:lang w:val="en-US"/>
        </w:rPr>
        <w:t xml:space="preserve">, </w:t>
      </w:r>
      <w:r w:rsidR="00627E73" w:rsidRPr="00627E73">
        <w:rPr>
          <w:lang w:val="en-US"/>
        </w:rPr>
        <w:t xml:space="preserve">op. cit., </w:t>
      </w:r>
      <w:r w:rsidRPr="00627E73">
        <w:rPr>
          <w:lang w:val="en-US"/>
        </w:rPr>
        <w:t>s. 148.</w:t>
      </w:r>
    </w:p>
    <w:p w:rsidR="00246F49" w:rsidRPr="00627E73" w:rsidRDefault="00246F49">
      <w:pPr>
        <w:rPr>
          <w:lang w:val="en-US"/>
        </w:rPr>
      </w:pPr>
    </w:p>
    <w:p w:rsidR="008B4B20" w:rsidRDefault="008B4B20">
      <w:r w:rsidRPr="008B4B20">
        <w:t xml:space="preserve">Jeśli cytujemy wypowiedź nie ze źródła, ale z innej </w:t>
      </w:r>
      <w:r>
        <w:t>pozycji, gdzie wypowiedź została</w:t>
      </w:r>
      <w:r w:rsidRPr="008B4B20">
        <w:t xml:space="preserve"> za</w:t>
      </w:r>
      <w:r>
        <w:t>cytowana, stosujemy pełny przypis do źródła, następnie skrót: [za:] i wtedy podajemy przypis do pozycji, z której cytat zapożyczyliśmy.</w:t>
      </w:r>
    </w:p>
    <w:p w:rsidR="008B4B20" w:rsidRDefault="008B4B20"/>
    <w:p w:rsidR="008B4B20" w:rsidRDefault="008B4B20"/>
    <w:p w:rsidR="008B4B20" w:rsidRPr="008B4B20" w:rsidRDefault="008B4B20"/>
    <w:p w:rsidR="00246F49" w:rsidRDefault="00246F49">
      <w:pPr>
        <w:pStyle w:val="Tekstpodstawowy"/>
      </w:pPr>
      <w:r>
        <w:t>BIBLIOGRAFIA:</w:t>
      </w:r>
    </w:p>
    <w:p w:rsidR="00246F49" w:rsidRDefault="00246F49">
      <w:r>
        <w:t>Bibliografię przedstawia się na końcu. Cytowane prace szeregujemy wedle nazwisk autorów w kolejności alfabetycznej. Jeśli w bibliografii pojawi się więcej prac tego samego autora, wówczas szeregujemy je alfabetycznie tytułami:</w:t>
      </w:r>
    </w:p>
    <w:p w:rsidR="00246F49" w:rsidRDefault="00246F49"/>
    <w:p w:rsidR="00246F49" w:rsidRDefault="00246F49">
      <w:pPr>
        <w:ind w:left="851" w:hanging="851"/>
      </w:pPr>
      <w:r>
        <w:t xml:space="preserve">Branigan, Edward, </w:t>
      </w:r>
      <w:r>
        <w:rPr>
          <w:i/>
          <w:iCs/>
        </w:rPr>
        <w:t>Schemat fabularny</w:t>
      </w:r>
      <w:r>
        <w:t xml:space="preserve">, przeł. Jacek Ostaszewski, [w:] </w:t>
      </w:r>
      <w:r>
        <w:rPr>
          <w:i/>
        </w:rPr>
        <w:t>Kognitywna teoria filmu. Antologia przekładów</w:t>
      </w:r>
      <w:r>
        <w:t>, red. Jacek Ostaszewski, Kraków 1999, s. 112-154.</w:t>
      </w:r>
    </w:p>
    <w:p w:rsidR="00246F49" w:rsidRDefault="00246F49">
      <w:pPr>
        <w:ind w:left="851" w:hanging="851"/>
      </w:pPr>
    </w:p>
    <w:p w:rsidR="00246F49" w:rsidRDefault="00246F49">
      <w:pPr>
        <w:ind w:left="851" w:hanging="851"/>
      </w:pPr>
      <w:r>
        <w:t xml:space="preserve">Dobek-Ostrowska, Bogusława (red.) </w:t>
      </w:r>
      <w:r>
        <w:rPr>
          <w:i/>
        </w:rPr>
        <w:t>Nauka o komunikowaniu: Podstawowe orientacje teoretyczne</w:t>
      </w:r>
      <w:r>
        <w:t>, Wrocław 2001.</w:t>
      </w:r>
    </w:p>
    <w:p w:rsidR="00246F49" w:rsidRDefault="00246F49"/>
    <w:p w:rsidR="00246F49" w:rsidRDefault="00246F49">
      <w:pPr>
        <w:pStyle w:val="Tekstpodstawowywcity2"/>
      </w:pPr>
      <w:r>
        <w:t xml:space="preserve">Dzido, Dominika, </w:t>
      </w:r>
      <w:r>
        <w:rPr>
          <w:i/>
          <w:iCs/>
        </w:rPr>
        <w:t>Spektakle codzienności: O wizerunkach kobiecości i męskości</w:t>
      </w:r>
      <w:r>
        <w:t xml:space="preserve">,  </w:t>
      </w:r>
      <w:hyperlink r:id="rId9" w:tgtFrame="_blank" w:history="1">
        <w:r>
          <w:rPr>
            <w:rStyle w:val="Hipercze"/>
          </w:rPr>
          <w:t>http://www.gender.lodz.pl/czytelnia/prasa/spektakle_codzienności.htm</w:t>
        </w:r>
      </w:hyperlink>
      <w:r>
        <w:t xml:space="preserve"> </w:t>
      </w:r>
      <w:r w:rsidR="008B4B20">
        <w:t xml:space="preserve">(dostęp: </w:t>
      </w:r>
      <w:r>
        <w:t>21.04.2005</w:t>
      </w:r>
      <w:r w:rsidR="008B4B20">
        <w:t>)</w:t>
      </w:r>
      <w:r>
        <w:t>.</w:t>
      </w:r>
    </w:p>
    <w:p w:rsidR="00246F49" w:rsidRDefault="00246F49">
      <w:pPr>
        <w:pStyle w:val="Tekstpodstawowywcity2"/>
      </w:pPr>
    </w:p>
    <w:p w:rsidR="00246F49" w:rsidRDefault="00246F49">
      <w:pPr>
        <w:pStyle w:val="Tekstpodstawowywcity2"/>
      </w:pPr>
      <w:r>
        <w:t xml:space="preserve">Habermas, Jürgen, </w:t>
      </w:r>
      <w:r>
        <w:rPr>
          <w:i/>
          <w:iCs/>
        </w:rPr>
        <w:t>Prawo międzynarodowe – jego przyszłość i przeszłość</w:t>
      </w:r>
      <w:r>
        <w:t>, przeł. Andrzej Kopacki, „Przegląd Polityczny” 2003 nr 62/63, s. 147-152.</w:t>
      </w:r>
    </w:p>
    <w:p w:rsidR="00246F49" w:rsidRDefault="00246F49"/>
    <w:p w:rsidR="00246F49" w:rsidRDefault="00246F49">
      <w:pPr>
        <w:ind w:left="851" w:hanging="851"/>
      </w:pPr>
      <w:r>
        <w:t xml:space="preserve">Harrington, Wilfrid J., </w:t>
      </w:r>
      <w:r>
        <w:rPr>
          <w:i/>
        </w:rPr>
        <w:t>Klucz do Biblii</w:t>
      </w:r>
      <w:r>
        <w:t>, przeł. Józef Marzęcki, Warszawa 2002.</w:t>
      </w:r>
    </w:p>
    <w:p w:rsidR="00246F49" w:rsidRDefault="00246F49"/>
    <w:p w:rsidR="00246F49" w:rsidRDefault="00246F49">
      <w:pPr>
        <w:ind w:left="851" w:hanging="851"/>
      </w:pPr>
      <w:r>
        <w:t xml:space="preserve">Sławiński, Janusz (red.), </w:t>
      </w:r>
      <w:r>
        <w:rPr>
          <w:i/>
        </w:rPr>
        <w:t>Słownik terminów literackich</w:t>
      </w:r>
      <w:r>
        <w:t xml:space="preserve">, wyd. III, poszerzone i poprawione, Wrocław–Warszawa–Kraków 2000. </w:t>
      </w:r>
    </w:p>
    <w:p w:rsidR="00246F49" w:rsidRDefault="00246F49"/>
    <w:p w:rsidR="00246F49" w:rsidRDefault="00246F49">
      <w:pPr>
        <w:pStyle w:val="Tekstpodstawowy"/>
      </w:pPr>
      <w:r>
        <w:t>FILMOGRAFIA:</w:t>
      </w:r>
    </w:p>
    <w:p w:rsidR="00246F49" w:rsidRDefault="00246F49">
      <w:pPr>
        <w:pStyle w:val="Tekstpodstawowy"/>
        <w:rPr>
          <w:b w:val="0"/>
        </w:rPr>
      </w:pPr>
      <w:r>
        <w:rPr>
          <w:b w:val="0"/>
        </w:rPr>
        <w:t>Jeśli w tekście pojawiają się omówienia większej ilości filmów na końcu należy umieścić filmografię, porządkując filmy wedle daty ich powstania lub alfabetycznie:</w:t>
      </w:r>
    </w:p>
    <w:p w:rsidR="00246F49" w:rsidRDefault="00246F49">
      <w:pPr>
        <w:pStyle w:val="Tekstpodstawowy"/>
        <w:rPr>
          <w:b w:val="0"/>
        </w:rPr>
      </w:pPr>
      <w:r>
        <w:rPr>
          <w:b w:val="0"/>
        </w:rPr>
        <w:lastRenderedPageBreak/>
        <w:t>Na przykład:</w:t>
      </w:r>
    </w:p>
    <w:p w:rsidR="00246F49" w:rsidRPr="00627E73" w:rsidRDefault="00246F49">
      <w:pPr>
        <w:pStyle w:val="Tekstpodstawowy"/>
        <w:rPr>
          <w:b w:val="0"/>
        </w:rPr>
      </w:pPr>
      <w:r w:rsidRPr="00627E73">
        <w:rPr>
          <w:b w:val="0"/>
          <w:i/>
        </w:rPr>
        <w:t>Cienie</w:t>
      </w:r>
      <w:r w:rsidRPr="00627E73">
        <w:rPr>
          <w:b w:val="0"/>
        </w:rPr>
        <w:t xml:space="preserve"> (</w:t>
      </w:r>
      <w:r w:rsidRPr="00627E73">
        <w:rPr>
          <w:b w:val="0"/>
          <w:i/>
        </w:rPr>
        <w:t>Shadows</w:t>
      </w:r>
      <w:r w:rsidRPr="00627E73">
        <w:rPr>
          <w:b w:val="0"/>
        </w:rPr>
        <w:t>, 1958)</w:t>
      </w:r>
    </w:p>
    <w:p w:rsidR="00246F49" w:rsidRPr="00627E73" w:rsidRDefault="00246F49">
      <w:pPr>
        <w:pStyle w:val="Tekstpodstawowy"/>
        <w:rPr>
          <w:b w:val="0"/>
        </w:rPr>
      </w:pPr>
      <w:r w:rsidRPr="00627E73">
        <w:rPr>
          <w:b w:val="0"/>
          <w:i/>
        </w:rPr>
        <w:t>Spóźniony blues</w:t>
      </w:r>
      <w:r w:rsidRPr="00627E73">
        <w:rPr>
          <w:b w:val="0"/>
        </w:rPr>
        <w:t xml:space="preserve"> (</w:t>
      </w:r>
      <w:r w:rsidRPr="00627E73">
        <w:rPr>
          <w:b w:val="0"/>
          <w:i/>
        </w:rPr>
        <w:t>Too Late Blues</w:t>
      </w:r>
      <w:r w:rsidRPr="00627E73">
        <w:rPr>
          <w:b w:val="0"/>
        </w:rPr>
        <w:t>, 1962)</w:t>
      </w:r>
    </w:p>
    <w:p w:rsidR="00246F49" w:rsidRPr="00627E73" w:rsidRDefault="00246F49">
      <w:pPr>
        <w:pStyle w:val="Tekstpodstawowy"/>
        <w:rPr>
          <w:b w:val="0"/>
        </w:rPr>
      </w:pPr>
      <w:r w:rsidRPr="00627E73">
        <w:rPr>
          <w:b w:val="0"/>
          <w:i/>
        </w:rPr>
        <w:t>Dziecko czeka</w:t>
      </w:r>
      <w:r w:rsidRPr="00627E73">
        <w:rPr>
          <w:b w:val="0"/>
        </w:rPr>
        <w:t xml:space="preserve"> (</w:t>
      </w:r>
      <w:r w:rsidRPr="00627E73">
        <w:rPr>
          <w:b w:val="0"/>
          <w:i/>
        </w:rPr>
        <w:t>A Child Is Waiting</w:t>
      </w:r>
      <w:r w:rsidRPr="00627E73">
        <w:rPr>
          <w:b w:val="0"/>
        </w:rPr>
        <w:t>, 1963)</w:t>
      </w:r>
    </w:p>
    <w:p w:rsidR="00246F49" w:rsidRPr="00627E73" w:rsidRDefault="00246F49">
      <w:pPr>
        <w:pStyle w:val="Tekstpodstawowy"/>
        <w:rPr>
          <w:b w:val="0"/>
        </w:rPr>
      </w:pPr>
      <w:r w:rsidRPr="00627E73">
        <w:rPr>
          <w:b w:val="0"/>
          <w:i/>
        </w:rPr>
        <w:t>Twarze</w:t>
      </w:r>
      <w:r w:rsidRPr="00627E73">
        <w:rPr>
          <w:b w:val="0"/>
        </w:rPr>
        <w:t xml:space="preserve"> (</w:t>
      </w:r>
      <w:r w:rsidRPr="00627E73">
        <w:rPr>
          <w:b w:val="0"/>
          <w:i/>
        </w:rPr>
        <w:t>Faces</w:t>
      </w:r>
      <w:r w:rsidRPr="00627E73">
        <w:rPr>
          <w:b w:val="0"/>
        </w:rPr>
        <w:t>, 1968)</w:t>
      </w:r>
    </w:p>
    <w:p w:rsidR="00246F49" w:rsidRDefault="00246F49">
      <w:pPr>
        <w:pStyle w:val="Tekstpodstawowy"/>
        <w:rPr>
          <w:b w:val="0"/>
        </w:rPr>
      </w:pPr>
      <w:r>
        <w:rPr>
          <w:b w:val="0"/>
        </w:rPr>
        <w:t>Itd.</w:t>
      </w:r>
    </w:p>
    <w:p w:rsidR="00246F49" w:rsidRDefault="00246F49">
      <w:pPr>
        <w:pStyle w:val="Tekstpodstawowy"/>
        <w:rPr>
          <w:b w:val="0"/>
        </w:rPr>
      </w:pPr>
    </w:p>
    <w:p w:rsidR="00246F49" w:rsidRDefault="00246F49">
      <w:pPr>
        <w:pStyle w:val="Tekstpodstawowy"/>
        <w:rPr>
          <w:b w:val="0"/>
        </w:rPr>
      </w:pPr>
      <w:r>
        <w:rPr>
          <w:b w:val="0"/>
        </w:rPr>
        <w:t>Jeśli piszemy tylko o kilku filmach, wówczas na końcu podajemy następujące dane: tytuł polski, tytuł oryginalny, miejsce i rok produkcji, nazwisko reżysera, scenarzysty, autora zdjęć, montażysty, autora muzyki, scenografa i wykonawców oraz producenta, np.:</w:t>
      </w:r>
    </w:p>
    <w:p w:rsidR="00246F49" w:rsidRDefault="00246F49">
      <w:pPr>
        <w:pStyle w:val="Tekstpodstawowy"/>
        <w:rPr>
          <w:b w:val="0"/>
        </w:rPr>
      </w:pPr>
    </w:p>
    <w:p w:rsidR="00246F49" w:rsidRPr="00627E73" w:rsidRDefault="00246F49">
      <w:pPr>
        <w:pStyle w:val="Tekstpodstawowy"/>
      </w:pPr>
      <w:r w:rsidRPr="00627E73">
        <w:rPr>
          <w:i/>
        </w:rPr>
        <w:t>Dzisiejsze czasy</w:t>
      </w:r>
      <w:r w:rsidRPr="00627E73">
        <w:t xml:space="preserve"> (</w:t>
      </w:r>
      <w:r w:rsidRPr="00627E73">
        <w:rPr>
          <w:i/>
        </w:rPr>
        <w:t>Modern Times</w:t>
      </w:r>
      <w:r w:rsidRPr="00627E73">
        <w:t>)</w:t>
      </w:r>
    </w:p>
    <w:p w:rsidR="00246F49" w:rsidRPr="00627E73" w:rsidRDefault="00246F49">
      <w:pPr>
        <w:pStyle w:val="Tekstpodstawowy"/>
        <w:rPr>
          <w:b w:val="0"/>
        </w:rPr>
      </w:pPr>
      <w:r w:rsidRPr="00627E73">
        <w:rPr>
          <w:b w:val="0"/>
        </w:rPr>
        <w:t>USA, 1936</w:t>
      </w:r>
    </w:p>
    <w:p w:rsidR="00246F49" w:rsidRPr="00627E73" w:rsidRDefault="00246F49">
      <w:pPr>
        <w:pStyle w:val="Tekstpodstawowy"/>
        <w:rPr>
          <w:b w:val="0"/>
          <w:lang w:val="en-US"/>
        </w:rPr>
      </w:pPr>
      <w:r w:rsidRPr="00627E73">
        <w:rPr>
          <w:b w:val="0"/>
          <w:lang w:val="en-US"/>
        </w:rPr>
        <w:t>reżyseria: Charles Chaplin</w:t>
      </w:r>
    </w:p>
    <w:p w:rsidR="00246F49" w:rsidRPr="00627E73" w:rsidRDefault="00246F49">
      <w:pPr>
        <w:pStyle w:val="Tekstpodstawowy"/>
        <w:rPr>
          <w:b w:val="0"/>
          <w:lang w:val="en-US"/>
        </w:rPr>
      </w:pPr>
      <w:r w:rsidRPr="00627E73">
        <w:rPr>
          <w:b w:val="0"/>
          <w:lang w:val="en-US"/>
        </w:rPr>
        <w:t>scenariusz: Charles Chaplin</w:t>
      </w:r>
    </w:p>
    <w:p w:rsidR="00246F49" w:rsidRPr="00627E73" w:rsidRDefault="00246F49">
      <w:pPr>
        <w:pStyle w:val="Tekstpodstawowy"/>
        <w:rPr>
          <w:b w:val="0"/>
          <w:lang w:val="en-US"/>
        </w:rPr>
      </w:pPr>
      <w:r w:rsidRPr="00627E73">
        <w:rPr>
          <w:b w:val="0"/>
          <w:lang w:val="en-US"/>
        </w:rPr>
        <w:t>zdjęcia: Rollie Totheroth, Ira Morgan</w:t>
      </w:r>
    </w:p>
    <w:p w:rsidR="00246F49" w:rsidRPr="00627E73" w:rsidRDefault="00246F49">
      <w:pPr>
        <w:pStyle w:val="Tekstpodstawowy"/>
        <w:rPr>
          <w:b w:val="0"/>
          <w:lang w:val="en-US"/>
        </w:rPr>
      </w:pPr>
      <w:r w:rsidRPr="00627E73">
        <w:rPr>
          <w:b w:val="0"/>
          <w:lang w:val="en-US"/>
        </w:rPr>
        <w:t>muzyka: Charles Chaplin</w:t>
      </w:r>
    </w:p>
    <w:p w:rsidR="00246F49" w:rsidRPr="00627E73" w:rsidRDefault="00246F49">
      <w:pPr>
        <w:pStyle w:val="Tekstpodstawowy"/>
        <w:rPr>
          <w:b w:val="0"/>
          <w:lang w:val="en-US"/>
        </w:rPr>
      </w:pPr>
      <w:r w:rsidRPr="00627E73">
        <w:rPr>
          <w:b w:val="0"/>
          <w:lang w:val="en-US"/>
        </w:rPr>
        <w:t>scenografia: Charles Danny Hall, J. Russell Spencer</w:t>
      </w:r>
    </w:p>
    <w:p w:rsidR="00246F49" w:rsidRPr="00627E73" w:rsidRDefault="00246F49">
      <w:pPr>
        <w:pStyle w:val="Tekstpodstawowy"/>
        <w:rPr>
          <w:b w:val="0"/>
          <w:lang w:val="en-US"/>
        </w:rPr>
      </w:pPr>
      <w:r w:rsidRPr="00627E73">
        <w:rPr>
          <w:b w:val="0"/>
          <w:lang w:val="en-US"/>
        </w:rPr>
        <w:t>wykonawcy: Charles Chaplin (Charlie-tramp), Paulette Goddard (Dziewczyna), Stanley Stanford (Duży Bill), Henry Bergman (właściciel knajpy), Chester Conkin (mechanik), Allan Garcia (dyrektor fabryki), Hank Mann (drab z celi), Lloyd Ingraham (dyrektor więzienia) i inni</w:t>
      </w:r>
    </w:p>
    <w:p w:rsidR="00246F49" w:rsidRPr="00627E73" w:rsidRDefault="00246F49">
      <w:pPr>
        <w:pStyle w:val="Tekstpodstawowy"/>
        <w:rPr>
          <w:b w:val="0"/>
          <w:lang w:val="en-US"/>
        </w:rPr>
      </w:pPr>
      <w:r w:rsidRPr="00627E73">
        <w:rPr>
          <w:b w:val="0"/>
          <w:lang w:val="en-US"/>
        </w:rPr>
        <w:t>produkcja: Charles Chaplin – United Artists</w:t>
      </w:r>
    </w:p>
    <w:p w:rsidR="00246F49" w:rsidRPr="00627E73" w:rsidRDefault="00246F49">
      <w:pPr>
        <w:pStyle w:val="Tekstpodstawowy"/>
        <w:rPr>
          <w:b w:val="0"/>
          <w:lang w:val="en-US"/>
        </w:rPr>
      </w:pPr>
    </w:p>
    <w:p w:rsidR="00246F49" w:rsidRDefault="00246F49">
      <w:pPr>
        <w:pStyle w:val="Tekstpodstawowy"/>
        <w:rPr>
          <w:lang w:val="en-US"/>
        </w:rPr>
      </w:pPr>
      <w:r>
        <w:rPr>
          <w:lang w:val="en-US"/>
        </w:rPr>
        <w:t>CUDZYSŁÓW:</w:t>
      </w:r>
    </w:p>
    <w:p w:rsidR="00246F49" w:rsidRDefault="00246F49">
      <w:r>
        <w:t xml:space="preserve">W cudzysłów ujmujemy fragmenty tekstu przytaczane dosłownie; stosujemy cudzysłów akapitowy – „…”; np.: </w:t>
      </w:r>
    </w:p>
    <w:p w:rsidR="00246F49" w:rsidRDefault="00246F49"/>
    <w:p w:rsidR="00246F49" w:rsidRPr="00627E73" w:rsidRDefault="00246F49">
      <w:r w:rsidRPr="00627E73">
        <w:t>„Usłyszała zgrzyt klucza w drzwiach frontowych. Sasza wrócił do domu. Hanka zerwała się ze stołka i pobiegła do kuchni”</w:t>
      </w:r>
      <w:r w:rsidRPr="00627E73">
        <w:rPr>
          <w:rStyle w:val="Odwoanieprzypisudolnego"/>
        </w:rPr>
        <w:footnoteReference w:id="2"/>
      </w:r>
      <w:r w:rsidRPr="00627E73">
        <w:t>.</w:t>
      </w:r>
    </w:p>
    <w:p w:rsidR="00246F49" w:rsidRDefault="00246F49">
      <w:pPr>
        <w:rPr>
          <w:rFonts w:ascii="Courier New" w:hAnsi="Courier New"/>
        </w:rPr>
      </w:pPr>
    </w:p>
    <w:p w:rsidR="00246F49" w:rsidRDefault="00246F49">
      <w:r>
        <w:t xml:space="preserve">Jeśli autor w tekście </w:t>
      </w:r>
      <w:r w:rsidR="00627E73">
        <w:t xml:space="preserve">cytowanym </w:t>
      </w:r>
      <w:r>
        <w:t xml:space="preserve">cytuje </w:t>
      </w:r>
      <w:r w:rsidR="00627E73">
        <w:t>inną</w:t>
      </w:r>
      <w:r>
        <w:t xml:space="preserve"> wypowiedź, stosujemy cudzysłów </w:t>
      </w:r>
      <w:r w:rsidR="00627E73">
        <w:t xml:space="preserve">wewnętrzny </w:t>
      </w:r>
      <w:r>
        <w:t>w postaci: «…», np.:</w:t>
      </w:r>
    </w:p>
    <w:p w:rsidR="00246F49" w:rsidRDefault="00246F49"/>
    <w:p w:rsidR="00246F49" w:rsidRPr="00627E73" w:rsidRDefault="00246F49">
      <w:r w:rsidRPr="00627E73">
        <w:t>„Hanka nie wychodziła z kuchni, w napięciu nadstawiała uszu. «Wszystko ode mnie wyciągnęła ta czarnooka wiedźma. Pan się rozgniewa i mnie wyrzuci. Co ja wtedy zrobię? Przywiązałam się do niego, przywiązałam. Kocham go mimo całej jego dzikości»… Poczuła wielką nienawiść do tej fałszywej kobiety […]”</w:t>
      </w:r>
      <w:r w:rsidRPr="00627E73">
        <w:rPr>
          <w:rStyle w:val="Odwoanieprzypisudolnego"/>
        </w:rPr>
        <w:footnoteReference w:id="3"/>
      </w:r>
      <w:r w:rsidRPr="00627E73">
        <w:t xml:space="preserve">. </w:t>
      </w:r>
    </w:p>
    <w:p w:rsidR="00246F49" w:rsidRDefault="00246F49"/>
    <w:p w:rsidR="00246F49" w:rsidRDefault="00246F49">
      <w:r>
        <w:t>W tekście głównym używamy cudzysłowu do pisowni tytułów czasopism, a także gdy przytaczamy dosłownie fragmenty innych tekstów oraz przy pisowni wyrazów kolokwialnych, użytych ironicznie bądź umownie, np.:</w:t>
      </w:r>
    </w:p>
    <w:p w:rsidR="00246F49" w:rsidRDefault="00246F49"/>
    <w:p w:rsidR="00246F49" w:rsidRPr="00627E73" w:rsidRDefault="00246F49">
      <w:r w:rsidRPr="00627E73">
        <w:lastRenderedPageBreak/>
        <w:t xml:space="preserve">W 39. numerze tygodnika „Wprost” z 2004 r. znaleźć można artykuł pióra Bartosza Jałowieckiego podsumowujący politykę zagraniczną prowadzoną przez Aleksandra Kwaśniewskiego. </w:t>
      </w:r>
    </w:p>
    <w:p w:rsidR="00246F49" w:rsidRPr="00627E73" w:rsidRDefault="00246F49"/>
    <w:p w:rsidR="00246F49" w:rsidRPr="00627E73" w:rsidRDefault="00246F49">
      <w:r w:rsidRPr="00627E73">
        <w:t>Autor kończy go następującym zdaniem: „W grudniu 2005 r. po 10 latach prezydentury Aleksander Kwaśniewski stanie się smutnym cieniem Lecha Wałęsy – pokonał go wprawdzie w 1995 r., ale to Wałęsa ciągle jest pożądanym gościem na światowych salonach”</w:t>
      </w:r>
      <w:r w:rsidRPr="00627E73">
        <w:rPr>
          <w:rStyle w:val="Odwoanieprzypisudolnego"/>
        </w:rPr>
        <w:footnoteReference w:id="4"/>
      </w:r>
      <w:r w:rsidRPr="00627E73">
        <w:t>.</w:t>
      </w:r>
    </w:p>
    <w:p w:rsidR="00246F49" w:rsidRPr="00627E73" w:rsidRDefault="00246F49"/>
    <w:p w:rsidR="00246F49" w:rsidRPr="00627E73" w:rsidRDefault="00246F49">
      <w:r w:rsidRPr="00627E73">
        <w:t xml:space="preserve">Fotoreporter poprosił nas byśmy stanęli przy wykopie, ponieważ kazano mu przynieść do redakcji zdjęcia z „czynnikiem ludzkim”. </w:t>
      </w:r>
    </w:p>
    <w:p w:rsidR="00246F49" w:rsidRDefault="00246F49"/>
    <w:p w:rsidR="00246F49" w:rsidRDefault="00246F49">
      <w:pPr>
        <w:pStyle w:val="Tekstpodstawowy"/>
      </w:pPr>
      <w:r>
        <w:t>INNE:</w:t>
      </w:r>
    </w:p>
    <w:p w:rsidR="00246F49" w:rsidRDefault="00246F49">
      <w:r>
        <w:t xml:space="preserve">Należy używać nawiasów zwykłych (…), w przypadku wtrąceń wewnętrznych należy stosować nawiasy kwadratowe […]; na przykład wówczas, gdy chcemy odpowiednio skrócić cytat (jak w wyżej cytowanym fragmencie) lub dodać od siebie słowo, bez którego cytat będzie mało czytelny, np.: </w:t>
      </w:r>
    </w:p>
    <w:p w:rsidR="00246F49" w:rsidRDefault="00246F49"/>
    <w:p w:rsidR="00246F49" w:rsidRPr="00627E73" w:rsidRDefault="00246F49">
      <w:r w:rsidRPr="00627E73">
        <w:t>„W domu, na wsi, słyszała [Hanka – przyp. X.Y.] o takim napoju miłosnym […]”</w:t>
      </w:r>
      <w:r w:rsidRPr="00627E73">
        <w:rPr>
          <w:rStyle w:val="Odwoanieprzypisudolnego"/>
        </w:rPr>
        <w:footnoteReference w:id="5"/>
      </w:r>
      <w:r w:rsidRPr="00627E73">
        <w:t>.</w:t>
      </w:r>
    </w:p>
    <w:p w:rsidR="00246F49" w:rsidRPr="00627E73" w:rsidRDefault="00246F49"/>
    <w:p w:rsidR="00246F49" w:rsidRDefault="00246F49">
      <w:r>
        <w:t xml:space="preserve">lub wreszcie, gdy chcemy coś podkreślić w cytacie, np.: </w:t>
      </w:r>
    </w:p>
    <w:p w:rsidR="00246F49" w:rsidRDefault="00246F49"/>
    <w:p w:rsidR="00246F49" w:rsidRPr="00627E73" w:rsidRDefault="00246F49">
      <w:r w:rsidRPr="00627E73">
        <w:t xml:space="preserve">„Był to ciężki sprawdzian prawidłowości naszej pracy na planie zdjęciowym. Połączenie się poszczególnych części zależało od </w:t>
      </w:r>
      <w:r w:rsidRPr="00627E73">
        <w:rPr>
          <w:b/>
        </w:rPr>
        <w:t xml:space="preserve">wewnętrznego stanu tworzywa </w:t>
      </w:r>
      <w:r w:rsidRPr="00627E73">
        <w:t>[podkreślenie moje — X.Y.]. Jeżeli stan ten rodził się w materiale podczas zdjęć […], to film nie mógł nie zespolić się w całość”</w:t>
      </w:r>
      <w:r w:rsidRPr="00627E73">
        <w:rPr>
          <w:rStyle w:val="Odwoanieprzypisudolnego"/>
        </w:rPr>
        <w:footnoteReference w:id="6"/>
      </w:r>
      <w:r w:rsidRPr="00627E73">
        <w:t>.</w:t>
      </w:r>
    </w:p>
    <w:p w:rsidR="00246F49" w:rsidRDefault="00246F49"/>
    <w:p w:rsidR="00246F49" w:rsidRDefault="00246F49">
      <w:r>
        <w:t xml:space="preserve">Przy pisowni wyrazów pochodzenia obcego używamy kursywy (np. </w:t>
      </w:r>
      <w:r>
        <w:rPr>
          <w:i/>
        </w:rPr>
        <w:t>de facto, ad hoc, a priori</w:t>
      </w:r>
      <w:r>
        <w:t>).</w:t>
      </w:r>
    </w:p>
    <w:p w:rsidR="00246F49" w:rsidRDefault="00246F49">
      <w:pPr>
        <w:pStyle w:val="Nagwek2"/>
      </w:pPr>
    </w:p>
    <w:p w:rsidR="00246F49" w:rsidRDefault="00246F49">
      <w:r>
        <w:t xml:space="preserve">Podkreślający wymowę jakiegoś fragmentu stosujemy </w:t>
      </w:r>
      <w:r>
        <w:rPr>
          <w:b/>
        </w:rPr>
        <w:t>druk wytłuszczonego</w:t>
      </w:r>
      <w:r>
        <w:t xml:space="preserve"> lub </w:t>
      </w:r>
      <w:r>
        <w:rPr>
          <w:spacing w:val="24"/>
        </w:rPr>
        <w:t>rozstrzelony</w:t>
      </w:r>
      <w:r>
        <w:t xml:space="preserve"> konsekwentnie w całym tekście.</w:t>
      </w:r>
    </w:p>
    <w:p w:rsidR="00246F49" w:rsidRDefault="00246F49"/>
    <w:p w:rsidR="00246F49" w:rsidRDefault="00246F49">
      <w:r>
        <w:t>Oprócz przypadków opisanych w bibliografiach (tłumacza podajemy ZAWSZE, gdy cytujemy książkę, artykuł z antologii czy czasopisma). W przypadku tłumaczenia zbiorowego piszemy: tłum. zbior.</w:t>
      </w:r>
    </w:p>
    <w:p w:rsidR="00246F49" w:rsidRDefault="00246F49"/>
    <w:p w:rsidR="00246F49" w:rsidRDefault="00246F49">
      <w:r>
        <w:t>W przypadku cytowania w te</w:t>
      </w:r>
      <w:r w:rsidR="00627E73">
        <w:t>kście źródeł obcojęzycznych nie</w:t>
      </w:r>
      <w:r>
        <w:t>tłumaczonych wcześniej na język polski, podajemy własne tłumaczenie (</w:t>
      </w:r>
      <w:r w:rsidR="008D00DD">
        <w:t xml:space="preserve">należy </w:t>
      </w:r>
      <w:r>
        <w:t>zaznaczyć to w przypisie).</w:t>
      </w:r>
    </w:p>
    <w:p w:rsidR="00246F49" w:rsidRDefault="00246F49"/>
    <w:p w:rsidR="00627E73" w:rsidRDefault="00246F49">
      <w:pPr>
        <w:rPr>
          <w:rFonts w:ascii="Courier New" w:hAnsi="Courier New"/>
        </w:rPr>
      </w:pPr>
      <w:r>
        <w:t xml:space="preserve">Jeśli odwołujemy się do określonych epok/ lat, stosujemy następujący zapis: </w:t>
      </w:r>
      <w:r>
        <w:rPr>
          <w:rFonts w:ascii="Courier New" w:hAnsi="Courier New"/>
        </w:rPr>
        <w:t xml:space="preserve">lata 60., </w:t>
      </w:r>
      <w:r w:rsidR="00627E73">
        <w:rPr>
          <w:rFonts w:ascii="Courier New" w:hAnsi="Courier New"/>
        </w:rPr>
        <w:t>XX wiek</w:t>
      </w:r>
      <w:r>
        <w:rPr>
          <w:rFonts w:ascii="Courier New" w:hAnsi="Courier New"/>
        </w:rPr>
        <w:t xml:space="preserve"> </w:t>
      </w:r>
    </w:p>
    <w:p w:rsidR="00627E73" w:rsidRDefault="00627E73">
      <w:pPr>
        <w:rPr>
          <w:rFonts w:ascii="Courier New" w:hAnsi="Courier New"/>
        </w:rPr>
      </w:pPr>
    </w:p>
    <w:p w:rsidR="00246F49" w:rsidRDefault="00246F49">
      <w:pPr>
        <w:rPr>
          <w:rFonts w:ascii="Courier New" w:hAnsi="Courier New"/>
        </w:rPr>
      </w:pPr>
      <w:r>
        <w:lastRenderedPageBreak/>
        <w:t xml:space="preserve">Jeśli podajemy wartości w procentach, stosujemy zapis: </w:t>
      </w:r>
      <w:r>
        <w:rPr>
          <w:rFonts w:ascii="Courier New" w:hAnsi="Courier New"/>
        </w:rPr>
        <w:t>30 proc., 30-procentowy wzrost nakładów.</w:t>
      </w:r>
    </w:p>
    <w:p w:rsidR="00791D1F" w:rsidRDefault="00791D1F">
      <w:pPr>
        <w:rPr>
          <w:rFonts w:ascii="Courier New" w:hAnsi="Courier New"/>
        </w:rPr>
      </w:pPr>
    </w:p>
    <w:p w:rsidR="00791D1F" w:rsidRDefault="00791D1F" w:rsidP="00791D1F">
      <w:r>
        <w:t xml:space="preserve">Zasady edycji </w:t>
      </w:r>
      <w:r w:rsidR="00627E73">
        <w:t xml:space="preserve">strony tytułowej </w:t>
      </w:r>
      <w:r>
        <w:t>pracy dyplomowej</w:t>
      </w:r>
      <w:r w:rsidR="009A6538">
        <w:t xml:space="preserve"> (licencjackiej)</w:t>
      </w:r>
      <w:r>
        <w:t>.</w:t>
      </w:r>
    </w:p>
    <w:p w:rsidR="00791D1F" w:rsidRDefault="00791D1F" w:rsidP="00791D1F"/>
    <w:p w:rsidR="00246F49" w:rsidRDefault="00791D1F">
      <w:r w:rsidRPr="00791D1F">
        <w:rPr>
          <w:noProof/>
        </w:rPr>
        <w:drawing>
          <wp:inline distT="0" distB="0" distL="0" distR="0">
            <wp:extent cx="5112568" cy="6747199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68" cy="674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F49" w:rsidSect="00731EAD">
      <w:footerReference w:type="even" r:id="rId11"/>
      <w:footerReference w:type="default" r:id="rId12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C6" w:rsidRDefault="00E65CC6" w:rsidP="00246F49">
      <w:r>
        <w:separator/>
      </w:r>
    </w:p>
  </w:endnote>
  <w:endnote w:type="continuationSeparator" w:id="1">
    <w:p w:rsidR="00E65CC6" w:rsidRDefault="00E65CC6" w:rsidP="0024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49" w:rsidRDefault="007D77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F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F49" w:rsidRDefault="00246F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49" w:rsidRDefault="007D77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F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6A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46F49" w:rsidRDefault="00246F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C6" w:rsidRDefault="00E65CC6" w:rsidP="00246F49">
      <w:r>
        <w:separator/>
      </w:r>
    </w:p>
  </w:footnote>
  <w:footnote w:type="continuationSeparator" w:id="1">
    <w:p w:rsidR="00E65CC6" w:rsidRDefault="00E65CC6" w:rsidP="00246F49">
      <w:r>
        <w:continuationSeparator/>
      </w:r>
    </w:p>
  </w:footnote>
  <w:footnote w:id="2">
    <w:p w:rsidR="00246F49" w:rsidRDefault="00246F49">
      <w:pPr>
        <w:pStyle w:val="Tekstprzypisudolnego"/>
      </w:pPr>
      <w:r>
        <w:rPr>
          <w:rStyle w:val="Odwoanieprzypisudolnego"/>
        </w:rPr>
        <w:footnoteRef/>
      </w:r>
      <w:r w:rsidR="002403AF" w:rsidRPr="008D00DD">
        <w:t xml:space="preserve"> I. B.</w:t>
      </w:r>
      <w:r w:rsidRPr="008D00DD">
        <w:t xml:space="preserve"> Singer </w:t>
      </w:r>
      <w:r w:rsidRPr="008D00DD">
        <w:rPr>
          <w:i/>
        </w:rPr>
        <w:t>Spuścizna</w:t>
      </w:r>
      <w:r w:rsidRPr="008D00DD">
        <w:t xml:space="preserve">,  przeł. </w:t>
      </w:r>
      <w:r w:rsidR="002403AF">
        <w:t>I.</w:t>
      </w:r>
      <w:r>
        <w:t xml:space="preserve"> Wyrzykowska, Wydawnictwo MUZA SA, Warszawa 2003, s. 82.</w:t>
      </w:r>
    </w:p>
  </w:footnote>
  <w:footnote w:id="3">
    <w:p w:rsidR="00246F49" w:rsidRDefault="00246F49">
      <w:pPr>
        <w:pStyle w:val="Tekstprzypisudolnego"/>
      </w:pPr>
      <w:r>
        <w:rPr>
          <w:rStyle w:val="Odwoanieprzypisudolnego"/>
        </w:rPr>
        <w:footnoteRef/>
      </w:r>
      <w:r w:rsidR="002403AF">
        <w:t xml:space="preserve"> Ibidem, s. 56.</w:t>
      </w:r>
    </w:p>
  </w:footnote>
  <w:footnote w:id="4">
    <w:p w:rsidR="00246F49" w:rsidRDefault="00246F49">
      <w:pPr>
        <w:pStyle w:val="Tekstprzypisudolnego"/>
      </w:pPr>
      <w:r>
        <w:rPr>
          <w:rStyle w:val="Odwoanieprzypisudolnego"/>
        </w:rPr>
        <w:footnoteRef/>
      </w:r>
      <w:r>
        <w:t xml:space="preserve"> B. Jałowiecki, </w:t>
      </w:r>
      <w:r>
        <w:rPr>
          <w:i/>
          <w:iCs/>
        </w:rPr>
        <w:t>Aleksander II Gnuśny</w:t>
      </w:r>
      <w:r>
        <w:t>, „Wprost”  2004 nr 39 (z dn. 26 września), s. 94-97.</w:t>
      </w:r>
    </w:p>
  </w:footnote>
  <w:footnote w:id="5">
    <w:p w:rsidR="00246F49" w:rsidRDefault="00246F4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I. B. Singer, op.cit., s. 83.</w:t>
      </w:r>
    </w:p>
  </w:footnote>
  <w:footnote w:id="6">
    <w:p w:rsidR="00246F49" w:rsidRDefault="00246F49">
      <w:pPr>
        <w:pStyle w:val="Tekstprzypisudolnego"/>
      </w:pPr>
      <w:r>
        <w:rPr>
          <w:rStyle w:val="Odwoanieprzypisudolnego"/>
        </w:rPr>
        <w:footnoteRef/>
      </w:r>
      <w:r>
        <w:t xml:space="preserve"> A. Tarkowski, </w:t>
      </w:r>
      <w:r>
        <w:rPr>
          <w:i/>
          <w:iCs/>
        </w:rPr>
        <w:t>O rytmie, czasie i montażu</w:t>
      </w:r>
      <w:r>
        <w:t xml:space="preserve">, przeł. S. Kuśmierczyk, [w:] </w:t>
      </w:r>
      <w:r>
        <w:rPr>
          <w:i/>
        </w:rPr>
        <w:t>Europejskie manifesty kina. Od Matuszewskiego do Dogmy. Antologia</w:t>
      </w:r>
      <w:r>
        <w:t>, wy</w:t>
      </w:r>
      <w:r w:rsidR="002403AF">
        <w:t>bór, wstęp i opracowanie A.</w:t>
      </w:r>
      <w:r>
        <w:t xml:space="preserve"> Gwóźdź, Warszawa 2002, s. 327.</w:t>
      </w:r>
    </w:p>
    <w:p w:rsidR="00791D1F" w:rsidRDefault="00791D1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4F9"/>
    <w:multiLevelType w:val="multilevel"/>
    <w:tmpl w:val="18E459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AF"/>
    <w:rsid w:val="00231476"/>
    <w:rsid w:val="002403AF"/>
    <w:rsid w:val="00246F49"/>
    <w:rsid w:val="00413F0A"/>
    <w:rsid w:val="00524913"/>
    <w:rsid w:val="00587395"/>
    <w:rsid w:val="005D0897"/>
    <w:rsid w:val="00627E73"/>
    <w:rsid w:val="006C76A9"/>
    <w:rsid w:val="00731EAD"/>
    <w:rsid w:val="00791D1F"/>
    <w:rsid w:val="007D7774"/>
    <w:rsid w:val="008714CA"/>
    <w:rsid w:val="008B0A92"/>
    <w:rsid w:val="008B4B20"/>
    <w:rsid w:val="008D00DD"/>
    <w:rsid w:val="009822C5"/>
    <w:rsid w:val="009A6538"/>
    <w:rsid w:val="00A2208B"/>
    <w:rsid w:val="00C87DCE"/>
    <w:rsid w:val="00D554DC"/>
    <w:rsid w:val="00DE65B5"/>
    <w:rsid w:val="00E65CC6"/>
    <w:rsid w:val="00F029F4"/>
    <w:rsid w:val="00F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AD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731EAD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731EAD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1EAD"/>
    <w:rPr>
      <w:b/>
      <w:szCs w:val="20"/>
    </w:rPr>
  </w:style>
  <w:style w:type="paragraph" w:styleId="Tekstpodstawowywcity">
    <w:name w:val="Body Text Indent"/>
    <w:basedOn w:val="Normalny"/>
    <w:semiHidden/>
    <w:rsid w:val="00731EAD"/>
    <w:rPr>
      <w:szCs w:val="20"/>
    </w:rPr>
  </w:style>
  <w:style w:type="paragraph" w:styleId="Tytu">
    <w:name w:val="Title"/>
    <w:basedOn w:val="Normalny"/>
    <w:qFormat/>
    <w:rsid w:val="00731EAD"/>
    <w:pPr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731E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31EAD"/>
    <w:rPr>
      <w:vertAlign w:val="superscript"/>
    </w:rPr>
  </w:style>
  <w:style w:type="paragraph" w:styleId="Tekstpodstawowywcity2">
    <w:name w:val="Body Text Indent 2"/>
    <w:basedOn w:val="Normalny"/>
    <w:semiHidden/>
    <w:rsid w:val="00731EAD"/>
    <w:pPr>
      <w:ind w:left="851" w:hanging="851"/>
    </w:pPr>
    <w:rPr>
      <w:szCs w:val="20"/>
    </w:rPr>
  </w:style>
  <w:style w:type="character" w:styleId="Hipercze">
    <w:name w:val="Hyperlink"/>
    <w:basedOn w:val="Domylnaczcionkaakapitu"/>
    <w:semiHidden/>
    <w:rsid w:val="00731EAD"/>
    <w:rPr>
      <w:color w:val="0000FF"/>
      <w:u w:val="single"/>
    </w:rPr>
  </w:style>
  <w:style w:type="paragraph" w:styleId="Stopka">
    <w:name w:val="footer"/>
    <w:basedOn w:val="Normalny"/>
    <w:semiHidden/>
    <w:rsid w:val="00731E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1EAD"/>
  </w:style>
  <w:style w:type="paragraph" w:styleId="Tekstdymka">
    <w:name w:val="Balloon Text"/>
    <w:basedOn w:val="Normalny"/>
    <w:link w:val="TekstdymkaZnak"/>
    <w:uiPriority w:val="99"/>
    <w:semiHidden/>
    <w:unhideWhenUsed/>
    <w:rsid w:val="00791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1F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er.lodz.pl/czytelnia/prasa/spektakle_codzienno&#347;ci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der.lodz.pl/czytelnia/prasa/spektakle_codzienno&#347;ci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ender.lodz.pl/czytelnia/prasa/spektakle_codzienno&#347;c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</Company>
  <LinksUpToDate>false</LinksUpToDate>
  <CharactersWithSpaces>7447</CharactersWithSpaces>
  <SharedDoc>false</SharedDoc>
  <HLinks>
    <vt:vector size="18" baseType="variant">
      <vt:variant>
        <vt:i4>21561427</vt:i4>
      </vt:variant>
      <vt:variant>
        <vt:i4>6</vt:i4>
      </vt:variant>
      <vt:variant>
        <vt:i4>0</vt:i4>
      </vt:variant>
      <vt:variant>
        <vt:i4>5</vt:i4>
      </vt:variant>
      <vt:variant>
        <vt:lpwstr>http://www.gender.lodz.pl/czytelnia/prasa/spektakle_codzienności.htm</vt:lpwstr>
      </vt:variant>
      <vt:variant>
        <vt:lpwstr/>
      </vt:variant>
      <vt:variant>
        <vt:i4>21561427</vt:i4>
      </vt:variant>
      <vt:variant>
        <vt:i4>3</vt:i4>
      </vt:variant>
      <vt:variant>
        <vt:i4>0</vt:i4>
      </vt:variant>
      <vt:variant>
        <vt:i4>5</vt:i4>
      </vt:variant>
      <vt:variant>
        <vt:lpwstr>http://www.gender.lodz.pl/czytelnia/prasa/spektakle_codzienności.htm</vt:lpwstr>
      </vt:variant>
      <vt:variant>
        <vt:lpwstr/>
      </vt:variant>
      <vt:variant>
        <vt:i4>21561427</vt:i4>
      </vt:variant>
      <vt:variant>
        <vt:i4>0</vt:i4>
      </vt:variant>
      <vt:variant>
        <vt:i4>0</vt:i4>
      </vt:variant>
      <vt:variant>
        <vt:i4>5</vt:i4>
      </vt:variant>
      <vt:variant>
        <vt:lpwstr>http://www.gender.lodz.pl/czytelnia/prasa/spektakle_codzienności.htm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admin</cp:lastModifiedBy>
  <cp:revision>8</cp:revision>
  <dcterms:created xsi:type="dcterms:W3CDTF">2013-12-15T10:14:00Z</dcterms:created>
  <dcterms:modified xsi:type="dcterms:W3CDTF">2018-01-29T21:35:00Z</dcterms:modified>
</cp:coreProperties>
</file>